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jc w:val="center"/>
        <w:spacing w:after="80"/>
      </w:pPr>
      <w:r>
        <w:rPr>
          <w:b/>
          <w:sz w:val="32"/>
          <w:szCs w:val="32"/>
        </w:rPr>
        <w:t xml:space="preserve">Estimating the Electric Charge on a Charged Balloon Using Coulomb’s Law</w:t>
      </w:r>
    </w:p>
    <w:p>
      <w:pPr>
        <w:jc w:val="center"/>
        <w:spacing w:after="60"/>
      </w:pPr>
      <w:r>
        <w:rPr>
          <w:b/>
          <w:sz w:val="22"/>
          <w:szCs w:val="22"/>
        </w:rPr>
        <w:t xml:space="preserve">Group Members: </w:t>
      </w:r>
      <w:r>
        <w:rPr>
          <w:b/>
          <w:color w:val="C00000"/>
          <w:sz w:val="22"/>
          <w:szCs w:val="22"/>
        </w:rPr>
        <w:t xml:space="preserve">[ Name 1 ] · [ Name 2 ] · [ Name 3 ] · [ Name 4 ]</w:t>
      </w:r>
    </w:p>
    <w:p>
      <w:pPr>
        <w:jc w:val="center"/>
        <w:spacing w:after="200"/>
      </w:pPr>
      <w:r>
        <w:rPr>
          <w:color w:val="C00000"/>
          <w:sz w:val="22"/>
          <w:szCs w:val="22"/>
        </w:rPr>
        <w:t xml:space="preserve">Course &amp; Section: [ PHYS 11__ – Sec __ ]     Instructor: [ ____ ]     Date Performed: [ __/__/2026 ]     Date Submitted: [ __/__/2026 ]</w:t>
      </w:r>
    </w:p>
    <w:p>
      <w:pPr>
        <w:spacing w:after="100"/>
      </w:pPr>
      <w:r>
        <w:rPr>
          <w:b/>
          <w:color w:val="1F3864"/>
          <w:sz w:val="26"/>
          <w:szCs w:val="26"/>
        </w:rPr>
        <w:t xml:space="preserve">I. Introduction</w:t>
      </w:r>
    </w:p>
    <w:p>
      <w:pPr>
        <w:spacing w:after="120"/>
      </w:pPr>
      <w:r>
        <w:rPr>
          <w:sz w:val="22"/>
          <w:szCs w:val="22"/>
        </w:rPr>
        <w:t xml:space="preserve">Electric charge is a fundamental physical quantity, yet unlike mass or length it cannot be measured directly with the equipment available in this laboratory. The purpose of this experiment is to estimate the electric charge deposited on a balloon when it is charged by friction, using quantities we can measure — the mass of the balloon and the distance between two like-charged balloons at the point where their electric repulsion balances gravity — together with a mathematical model. The research question guiding this investigation is: how much charge is transferred to a balloon when it is charged by rubbing, and can that charge be reliably estimated from measurements of force balance and separation?</w:t>
      </w:r>
    </w:p>
    <w:p>
      <w:pPr>
        <w:spacing w:after="120"/>
      </w:pPr>
      <w:r>
        <w:rPr>
          <w:sz w:val="22"/>
          <w:szCs w:val="22"/>
        </w:rPr>
        <w:t xml:space="preserve">The relevant physics is Coulomb’s Law, which for two point charges states that the electric force is F = k q₁ q₂ / r², where k = 9.0 × 10⁹ N·m²/C² and r is the separation between the charges. For two similarly charged balloons carrying approximately equal charge q, this becomes a repulsive force F = k q² / r². In this experiment the balloons are arranged so that this upward electric force exactly supports the weight of one balloon, mg. Setting the two forces equal gives the model used in this lab, mg = k q² / r², which rearranges to q = √(m g r² / k) = r · √(m g / k). This converts a measured mass and a measured separation directly into an estimate of the charge.</w:t>
      </w:r>
    </w:p>
    <w:p>
      <w:pPr>
        <w:spacing w:after="120"/>
      </w:pPr>
      <w:r>
        <w:rPr>
          <w:sz w:val="22"/>
          <w:szCs w:val="22"/>
        </w:rPr>
        <w:t xml:space="preserve">We hypothesize that charging a balloon by friction transfers a small static charge on the order of 10⁻⁷ to 10⁻⁶ coulombs, and that when a second charged balloon is brought close enough, the repulsive Coulomb force will be strong enough to support the weight of the first balloon. Applying the model above should therefore yield a charge on the microcoulomb scale, consistent with published values for objects charged by friction. This hypothesis is testable because it predicts a measurable balance separation and a charge falling within a specific, physically reasonable range.</w:t>
      </w:r>
    </w:p>
    <w:p>
      <w:pPr>
        <w:spacing w:after="100"/>
      </w:pPr>
      <w:r>
        <w:rPr>
          <w:b/>
          <w:color w:val="1F3864"/>
          <w:sz w:val="26"/>
          <w:szCs w:val="26"/>
        </w:rPr>
        <w:t xml:space="preserve">II. Procedure</w:t>
      </w:r>
    </w:p>
    <w:p>
      <w:pPr>
        <w:spacing w:after="120"/>
      </w:pPr>
      <w:r>
        <w:rPr>
          <w:sz w:val="22"/>
          <w:szCs w:val="22"/>
        </w:rPr>
        <w:t xml:space="preserve">The equipment consisted of two identical balloons, a meter stick, thread and tape, a ruler, a gram scale (or balance) to measure the balloon mass, a cloth for charging, and a stand or table edge to support the apparatus. Both balloons were inflated to the same convenient size — a larger diameter is preferable because it holds charge more stably — and the mass m of a single balloon was measured on the scale. Each balloon was then charged thoroughly by rubbing it on cloth, hair, or a garment to deposit static charge through friction.</w:t>
      </w:r>
    </w:p>
    <w:p>
      <w:pPr>
        <w:spacing w:after="120"/>
      </w:pPr>
      <w:r>
        <w:rPr>
          <w:sz w:val="22"/>
          <w:szCs w:val="22"/>
        </w:rPr>
        <w:t xml:space="preserve">One charged balloon was attached to the end of the meter stick, which was supported at the edge of the table so that it could pivot freely and its balloon hung under its own weight. The second charged balloon was brought in from below and slowly raised toward the first. Because the balloons carry like charges, they repel; the second balloon was raised until the repulsive force lifted the first balloon to the balance point, where the meter stick extended straight out horizontally. At that point the upward electric force on the first balloon just equals its weight, so mg = k q² / r². The center-to-center separation r between the two balloons was then measured with a ruler.</w:t>
      </w:r>
    </w:p>
    <w:p>
      <w:pPr>
        <w:spacing w:after="120"/>
      </w:pPr>
      <w:r>
        <w:rPr>
          <w:sz w:val="22"/>
          <w:szCs w:val="22"/>
        </w:rPr>
        <w:t xml:space="preserve">Several design decisions improved the measurement. The balloons were inflated as large as practical so the charge was more stable and the balance point easier to hold. Both balloons were recharged before every trial because static charge leaks away quickly, and the measurement was repeated five times to average out variation. Care was taken to measure the separation from the centers of the balloons, since that distance — not the gap between their surfaces — is what appears in the model.</w:t>
      </w:r>
    </w:p>
    <w:p>
      <w:pPr>
        <w:spacing w:after="200"/>
      </w:pPr>
      <w:r>
        <w:rPr>
          <w:b/>
          <w:sz w:val="22"/>
          <w:szCs w:val="22"/>
        </w:rPr>
        <w:t xml:space="preserve">Experimental Setup: </w:t>
      </w:r>
      <w:r>
        <w:rPr>
          <w:b/>
          <w:color w:val="C00000"/>
          <w:sz w:val="22"/>
          <w:szCs w:val="22"/>
        </w:rPr>
        <w:t xml:space="preserve">[ INSERT your labeled setup photo here — one balloon on the meter stick and the second balloon below at the balance point, with the separation r marked ]</w:t>
      </w:r>
    </w:p>
    <w:p>
      <w:pPr>
        <w:spacing w:after="100"/>
      </w:pPr>
      <w:r>
        <w:rPr>
          <w:b/>
          <w:color w:val="1F3864"/>
          <w:sz w:val="26"/>
          <w:szCs w:val="26"/>
        </w:rPr>
        <w:t xml:space="preserve">III. Data and Analysis</w:t>
      </w:r>
    </w:p>
    <w:p>
      <w:pPr>
        <w:spacing w:after="140"/>
      </w:pPr>
      <w:r>
        <w:rPr>
          <w:b/>
          <w:sz w:val="22"/>
          <w:szCs w:val="22"/>
        </w:rPr>
        <w:t xml:space="preserve">Representative Measurement / Photo: </w:t>
      </w:r>
      <w:r>
        <w:rPr>
          <w:b/>
          <w:color w:val="C00000"/>
          <w:sz w:val="22"/>
          <w:szCs w:val="22"/>
        </w:rPr>
        <w:t xml:space="preserve">[ INSERT a clear, annotated photo of the balanced setup showing the separation r (and any IOLab motion screenshot if you used one) ]</w:t>
      </w:r>
    </w:p>
    <w:p>
      <w:pPr>
        <w:spacing w:after="120"/>
      </w:pPr>
      <w:r>
        <w:rPr>
          <w:sz w:val="22"/>
          <w:szCs w:val="22"/>
        </w:rPr>
        <w:t xml:space="preserve">For each trial the balloon mass m and the center-to-center separation r at the balance point were recorded. Because the electric force supports the balloon’s weight at that point, the charge was calculated from the model q = r · √(m g / k), using g = 9.8 m/s² and k = 9.0 × 10⁹ N·m²/C².</w:t>
      </w:r>
    </w:p>
    <w:p>
      <w:pPr>
        <w:spacing w:after="140"/>
      </w:pPr>
      <w:r>
        <w:rPr>
          <w:b/>
          <w:sz w:val="22"/>
          <w:szCs w:val="22"/>
        </w:rPr>
        <w:t xml:space="preserve">Balloon mass: m = </w:t>
      </w:r>
      <w:r>
        <w:rPr>
          <w:b/>
          <w:color w:val="C00000"/>
          <w:sz w:val="22"/>
          <w:szCs w:val="22"/>
        </w:rPr>
        <w:t xml:space="preserve">[ __ ] kg</w:t>
      </w:r>
      <w:r>
        <w:rPr>
          <w:sz w:val="22"/>
          <w:szCs w:val="22"/>
        </w:rPr>
        <w:t xml:space="preserve">   (measured on the scale; example: m = 0.0020 kg = 2.0 g).</w:t>
      </w:r>
    </w:p>
    <w:tbl>
      <w:tblPr>
        <w:tblStyle w:val="TableGrid"/>
        <w:tblW w:w="0" w:type="auto"/>
        <w:tblBorders>
          <w:top w:val="single" w:sz="4" w:color="888888"/>
          <w:left w:val="single" w:sz="4" w:color="888888"/>
          <w:bottom w:val="single" w:sz="4" w:color="888888"/>
          <w:right w:val="single" w:sz="4" w:color="888888"/>
          <w:insideH w:val="single" w:sz="4" w:color="888888"/>
          <w:insideV w:val="single" w:sz="4" w:color="888888"/>
        </w:tblBorders>
      </w:tblPr>
      <w:tr>
        <w:tc>
          <w:tcPr>
            <w:tcW w:w="900" w:type="dxa"/>
          </w:tcPr>
          <w:p>
            <w:pPr>
              <w:spacing w:after="20"/>
            </w:pPr>
            <w:r>
              <w:rPr>
                <w:b/>
                <w:sz w:val="20"/>
                <w:szCs w:val="20"/>
              </w:rPr>
              <w:t xml:space="preserve">Trial</w:t>
            </w:r>
          </w:p>
        </w:tc>
        <w:tc>
          <w:tcPr>
            <w:tcW w:w="1900" w:type="dxa"/>
          </w:tcPr>
          <w:p>
            <w:pPr>
              <w:spacing w:after="20"/>
            </w:pPr>
            <w:r>
              <w:rPr>
                <w:b/>
                <w:sz w:val="20"/>
                <w:szCs w:val="20"/>
              </w:rPr>
              <w:t xml:space="preserve">m (kg)</w:t>
            </w:r>
          </w:p>
        </w:tc>
        <w:tc>
          <w:tcPr>
            <w:tcW w:w="1900" w:type="dxa"/>
          </w:tcPr>
          <w:p>
            <w:pPr>
              <w:spacing w:after="20"/>
            </w:pPr>
            <w:r>
              <w:rPr>
                <w:b/>
                <w:sz w:val="20"/>
                <w:szCs w:val="20"/>
              </w:rPr>
              <w:t xml:space="preserve">r (m)</w:t>
            </w:r>
          </w:p>
        </w:tc>
        <w:tc>
          <w:tcPr>
            <w:tcW w:w="2600" w:type="dxa"/>
          </w:tcPr>
          <w:p>
            <w:pPr>
              <w:spacing w:after="20"/>
            </w:pPr>
            <w:r>
              <w:rPr>
                <w:b/>
                <w:sz w:val="20"/>
                <w:szCs w:val="20"/>
              </w:rPr>
              <w:t xml:space="preserve">q = r·√(mg/k)  (µC)</w:t>
            </w:r>
          </w:p>
        </w:tc>
      </w:tr>
      <w:tr>
        <w:tc>
          <w:tcPr>
            <w:tcW w:w="1900" w:type="dxa"/>
          </w:tcPr>
          <w:p>
            <w:pPr>
              <w:spacing w:after="20"/>
            </w:pPr>
            <w:r>
              <w:rPr>
                <w:sz w:val="20"/>
                <w:szCs w:val="20"/>
              </w:rPr>
              <w:t xml:space="preserve">1 (ex.)</w:t>
            </w:r>
          </w:p>
        </w:tc>
        <w:tc>
          <w:tcPr>
            <w:tcW w:w="1900" w:type="dxa"/>
          </w:tcPr>
          <w:p>
            <w:pPr>
              <w:spacing w:after="20"/>
            </w:pPr>
            <w:r>
              <w:rPr>
                <w:sz w:val="20"/>
                <w:szCs w:val="20"/>
              </w:rPr>
              <w:t xml:space="preserve">0.0020</w:t>
            </w:r>
          </w:p>
        </w:tc>
        <w:tc>
          <w:tcPr>
            <w:tcW w:w="1900" w:type="dxa"/>
          </w:tcPr>
          <w:p>
            <w:pPr>
              <w:spacing w:after="20"/>
            </w:pPr>
            <w:r>
              <w:rPr>
                <w:sz w:val="20"/>
                <w:szCs w:val="20"/>
              </w:rPr>
              <w:t xml:space="preserve">0.15</w:t>
            </w:r>
          </w:p>
        </w:tc>
        <w:tc>
          <w:tcPr>
            <w:tcW w:w="1900" w:type="dxa"/>
          </w:tcPr>
          <w:p>
            <w:pPr>
              <w:spacing w:after="20"/>
            </w:pPr>
            <w:r>
              <w:rPr>
                <w:sz w:val="20"/>
                <w:szCs w:val="20"/>
              </w:rPr>
              <w:t xml:space="preserve">0.22</w:t>
            </w:r>
          </w:p>
        </w:tc>
      </w:tr>
      <w:tr>
        <w:tc>
          <w:tcPr>
            <w:tcW w:w="1900" w:type="dxa"/>
          </w:tcPr>
          <w:p>
            <w:pPr>
              <w:spacing w:after="20"/>
            </w:pPr>
            <w:r>
              <w:rPr>
                <w:sz w:val="20"/>
                <w:szCs w:val="20"/>
              </w:rPr>
              <w:t xml:space="preserve">2</w:t>
            </w:r>
          </w:p>
        </w:tc>
        <w:tc>
          <w:tcPr>
            <w:tcW w:w="1900" w:type="dxa"/>
          </w:tcPr>
          <w:p>
            <w:pPr>
              <w:spacing w:after="20"/>
            </w:pPr>
            <w:r>
              <w:rPr>
                <w:sz w:val="20"/>
                <w:szCs w:val="20"/>
              </w:rPr>
              <w:t xml:space="preserve">[ __ ]</w:t>
            </w:r>
          </w:p>
        </w:tc>
        <w:tc>
          <w:tcPr>
            <w:tcW w:w="1900" w:type="dxa"/>
          </w:tcPr>
          <w:p>
            <w:pPr>
              <w:spacing w:after="20"/>
            </w:pPr>
            <w:r>
              <w:rPr>
                <w:sz w:val="20"/>
                <w:szCs w:val="20"/>
              </w:rPr>
              <w:t xml:space="preserve">[ __ ]</w:t>
            </w:r>
          </w:p>
        </w:tc>
        <w:tc>
          <w:tcPr>
            <w:tcW w:w="2600" w:type="dxa"/>
          </w:tcPr>
          <w:p>
            <w:pPr>
              <w:spacing w:after="20"/>
            </w:pPr>
            <w:r>
              <w:rPr>
                <w:sz w:val="20"/>
                <w:szCs w:val="20"/>
              </w:rPr>
              <w:t xml:space="preserve">[ __ ]</w:t>
            </w:r>
          </w:p>
        </w:tc>
      </w:tr>
      <w:tr>
        <w:tc>
          <w:tcPr>
            <w:tcW w:w="1900" w:type="dxa"/>
          </w:tcPr>
          <w:p>
            <w:pPr>
              <w:spacing w:after="20"/>
            </w:pPr>
            <w:r>
              <w:rPr>
                <w:sz w:val="20"/>
                <w:szCs w:val="20"/>
              </w:rPr>
              <w:t xml:space="preserve">3</w:t>
            </w:r>
          </w:p>
        </w:tc>
        <w:tc>
          <w:tcPr>
            <w:tcW w:w="1900" w:type="dxa"/>
          </w:tcPr>
          <w:p>
            <w:pPr>
              <w:spacing w:after="20"/>
            </w:pPr>
            <w:r>
              <w:rPr>
                <w:sz w:val="20"/>
                <w:szCs w:val="20"/>
              </w:rPr>
              <w:t xml:space="preserve">[ __ ]</w:t>
            </w:r>
          </w:p>
        </w:tc>
        <w:tc>
          <w:tcPr>
            <w:tcW w:w="1900" w:type="dxa"/>
          </w:tcPr>
          <w:p>
            <w:pPr>
              <w:spacing w:after="20"/>
            </w:pPr>
            <w:r>
              <w:rPr>
                <w:sz w:val="20"/>
                <w:szCs w:val="20"/>
              </w:rPr>
              <w:t xml:space="preserve">[ __ ]</w:t>
            </w:r>
          </w:p>
        </w:tc>
        <w:tc>
          <w:tcPr>
            <w:tcW w:w="2600" w:type="dxa"/>
          </w:tcPr>
          <w:p>
            <w:pPr>
              <w:spacing w:after="20"/>
            </w:pPr>
            <w:r>
              <w:rPr>
                <w:sz w:val="20"/>
                <w:szCs w:val="20"/>
              </w:rPr>
              <w:t xml:space="preserve">[ __ ]</w:t>
            </w:r>
          </w:p>
        </w:tc>
      </w:tr>
      <w:tr>
        <w:tc>
          <w:tcPr>
            <w:tcW w:w="1900" w:type="dxa"/>
          </w:tcPr>
          <w:p>
            <w:pPr>
              <w:spacing w:after="20"/>
            </w:pPr>
            <w:r>
              <w:rPr>
                <w:sz w:val="20"/>
                <w:szCs w:val="20"/>
              </w:rPr>
              <w:t xml:space="preserve">4</w:t>
            </w:r>
          </w:p>
        </w:tc>
        <w:tc>
          <w:tcPr>
            <w:tcW w:w="1900" w:type="dxa"/>
          </w:tcPr>
          <w:p>
            <w:pPr>
              <w:spacing w:after="20"/>
            </w:pPr>
            <w:r>
              <w:rPr>
                <w:sz w:val="20"/>
                <w:szCs w:val="20"/>
              </w:rPr>
              <w:t xml:space="preserve">[ __ ]</w:t>
            </w:r>
          </w:p>
        </w:tc>
        <w:tc>
          <w:tcPr>
            <w:tcW w:w="1900" w:type="dxa"/>
          </w:tcPr>
          <w:p>
            <w:pPr>
              <w:spacing w:after="20"/>
            </w:pPr>
            <w:r>
              <w:rPr>
                <w:sz w:val="20"/>
                <w:szCs w:val="20"/>
              </w:rPr>
              <w:t xml:space="preserve">[ __ ]</w:t>
            </w:r>
          </w:p>
        </w:tc>
        <w:tc>
          <w:tcPr>
            <w:tcW w:w="2600" w:type="dxa"/>
          </w:tcPr>
          <w:p>
            <w:pPr>
              <w:spacing w:after="20"/>
            </w:pPr>
            <w:r>
              <w:rPr>
                <w:sz w:val="20"/>
                <w:szCs w:val="20"/>
              </w:rPr>
              <w:t xml:space="preserve">[ __ ]</w:t>
            </w:r>
          </w:p>
        </w:tc>
      </w:tr>
      <w:tr>
        <w:tc>
          <w:tcPr>
            <w:tcW w:w="1900" w:type="dxa"/>
          </w:tcPr>
          <w:p>
            <w:pPr>
              <w:spacing w:after="20"/>
            </w:pPr>
            <w:r>
              <w:rPr>
                <w:sz w:val="20"/>
                <w:szCs w:val="20"/>
              </w:rPr>
              <w:t xml:space="preserve">5</w:t>
            </w:r>
          </w:p>
        </w:tc>
        <w:tc>
          <w:tcPr>
            <w:tcW w:w="1900" w:type="dxa"/>
          </w:tcPr>
          <w:p>
            <w:pPr>
              <w:spacing w:after="20"/>
            </w:pPr>
            <w:r>
              <w:rPr>
                <w:sz w:val="20"/>
                <w:szCs w:val="20"/>
              </w:rPr>
              <w:t xml:space="preserve">[ __ ]</w:t>
            </w:r>
          </w:p>
        </w:tc>
        <w:tc>
          <w:tcPr>
            <w:tcW w:w="1900" w:type="dxa"/>
          </w:tcPr>
          <w:p>
            <w:pPr>
              <w:spacing w:after="20"/>
            </w:pPr>
            <w:r>
              <w:rPr>
                <w:sz w:val="20"/>
                <w:szCs w:val="20"/>
              </w:rPr>
              <w:t xml:space="preserve">[ __ ]</w:t>
            </w:r>
          </w:p>
        </w:tc>
        <w:tc>
          <w:tcPr>
            <w:tcW w:w="2600" w:type="dxa"/>
          </w:tcPr>
          <w:p>
            <w:pPr>
              <w:spacing w:after="20"/>
            </w:pPr>
            <w:r>
              <w:rPr>
                <w:sz w:val="20"/>
                <w:szCs w:val="20"/>
              </w:rPr>
              <w:t xml:space="preserve">[ __ ]</w:t>
            </w:r>
          </w:p>
        </w:tc>
      </w:tr>
      <w:tr>
        <w:tc>
          <w:tcPr>
            <w:tcW w:w="900" w:type="dxa"/>
          </w:tcPr>
          <w:p>
            <w:pPr>
              <w:spacing w:after="20"/>
            </w:pPr>
            <w:r>
              <w:rPr>
                <w:b/>
                <w:sz w:val="20"/>
                <w:szCs w:val="20"/>
              </w:rPr>
              <w:t xml:space="preserve">Average</w:t>
            </w:r>
          </w:p>
        </w:tc>
        <w:tc>
          <w:tcPr>
            <w:tcW w:w="1900" w:type="dxa"/>
          </w:tcPr>
          <w:p>
            <w:pPr>
              <w:spacing w:after="20"/>
            </w:pPr>
            <w:r>
              <w:rPr>
                <w:sz w:val="20"/>
                <w:szCs w:val="20"/>
              </w:rPr>
              <w:t xml:space="preserve"/>
            </w:r>
          </w:p>
        </w:tc>
        <w:tc>
          <w:tcPr>
            <w:tcW w:w="1900" w:type="dxa"/>
          </w:tcPr>
          <w:p>
            <w:pPr>
              <w:spacing w:after="20"/>
            </w:pPr>
            <w:r>
              <w:rPr>
                <w:sz w:val="20"/>
                <w:szCs w:val="20"/>
              </w:rPr>
              <w:t xml:space="preserve"/>
            </w:r>
          </w:p>
        </w:tc>
        <w:tc>
          <w:tcPr>
            <w:tcW w:w="2600" w:type="dxa"/>
          </w:tcPr>
          <w:p>
            <w:pPr>
              <w:spacing w:after="20"/>
            </w:pPr>
            <w:r>
              <w:rPr>
                <w:b/>
                <w:sz w:val="20"/>
                <w:szCs w:val="20"/>
              </w:rPr>
              <w:t xml:space="preserve">[ __ ]</w:t>
            </w:r>
          </w:p>
        </w:tc>
      </w:tr>
    </w:tbl>
    <w:p>
      <w:pPr>
        <w:spacing w:after="160"/>
      </w:pPr>
    </w:p>
    <w:p>
      <w:pPr>
        <w:spacing w:after="60"/>
      </w:pPr>
      <w:r>
        <w:rPr>
          <w:b/>
          <w:sz w:val="22"/>
          <w:szCs w:val="22"/>
        </w:rPr>
        <w:t xml:space="preserve">Sample calculation (Trial 1, example values — replace with your own): </w:t>
      </w:r>
    </w:p>
    <w:p>
      <w:pPr>
        <w:spacing w:after="120"/>
      </w:pPr>
      <w:r>
        <w:rPr>
          <w:sz w:val="22"/>
          <w:szCs w:val="22"/>
        </w:rPr>
        <w:t xml:space="preserve">With m = 0.0020 kg, r = 0.15 m, g = 9.8 m/s², and k = 9.0 × 10⁹ N·m²/C²:</w:t>
      </w:r>
    </w:p>
    <w:p>
      <w:pPr>
        <w:spacing w:after="120"/>
      </w:pPr>
      <w:r>
        <w:rPr>
          <w:sz w:val="22"/>
          <w:szCs w:val="22"/>
        </w:rPr>
        <w:t xml:space="preserve">q = r · √(m g / k) = 0.15 · √[(0.0020)(9.8) / (9.0 × 10⁹)] = 0.15 · √(2.18 × 10⁻¹²) = 0.15 · (1.48 × 10⁻⁶) = 2.21 × 10⁻⁷ C ≈ 0.22 µC.</w:t>
      </w:r>
    </w:p>
    <w:p>
      <w:pPr>
        <w:spacing w:after="160"/>
      </w:pPr>
      <w:r>
        <w:rPr>
          <w:b/>
          <w:sz w:val="22"/>
          <w:szCs w:val="22"/>
        </w:rPr>
        <w:t xml:space="preserve">Average charge q̄ = </w:t>
      </w:r>
      <w:r>
        <w:rPr>
          <w:b/>
          <w:color w:val="C00000"/>
          <w:sz w:val="22"/>
          <w:szCs w:val="22"/>
        </w:rPr>
        <w:t xml:space="preserve">[ mean of your q column ] µC</w:t>
      </w:r>
      <w:r>
        <w:rPr>
          <w:b/>
          <w:sz w:val="22"/>
          <w:szCs w:val="22"/>
        </w:rPr>
        <w:t xml:space="preserve">.    Estimated uncertainty Δq = </w:t>
      </w:r>
      <w:r>
        <w:rPr>
          <w:b/>
          <w:color w:val="C00000"/>
          <w:sz w:val="22"/>
          <w:szCs w:val="22"/>
        </w:rPr>
        <w:t xml:space="preserve">[ __ ] µC</w:t>
      </w:r>
      <w:r>
        <w:rPr>
          <w:sz w:val="22"/>
          <w:szCs w:val="22"/>
        </w:rPr>
        <w:t xml:space="preserve">  (see below).</w:t>
      </w:r>
    </w:p>
    <w:p>
      <w:pPr>
        <w:spacing w:after="80"/>
      </w:pPr>
      <w:r>
        <w:rPr>
          <w:b/>
          <w:color w:val="1F3864"/>
          <w:sz w:val="24"/>
          <w:szCs w:val="24"/>
        </w:rPr>
        <w:t xml:space="preserve">Uncertainty and Error Analysis</w:t>
      </w:r>
    </w:p>
    <w:p>
      <w:pPr>
        <w:spacing w:after="120"/>
      </w:pPr>
      <w:r>
        <w:rPr>
          <w:sz w:val="22"/>
          <w:szCs w:val="22"/>
        </w:rPr>
        <w:t xml:space="preserve">Random uncertainty comes mainly from three sources. The separation r is difficult to pin down because the balloons drift and the balance point is not perfectly sharp, and since q is directly proportional to r this measurement dominates the uncertainty. The balloon mass is small (a few grams), so the resolution of the scale contributes as well, although q depends only on √m and is therefore less sensitive to it. Most importantly, each rub deposits a slightly different amount of charge, so the balance separation changes from trial to trial; this charging variability is the largest random effect and is why the trials were averaged. Combining these, the relative uncertainty is Δq/q = √[(Δr/r)² + (½ Δm/m)²], and the spread of the individual q values (their standard deviation divided by √N) gives an empirical estimate that is usually larger.</w:t>
      </w:r>
    </w:p>
    <w:p>
      <w:pPr>
        <w:spacing w:after="120"/>
      </w:pPr>
      <w:r>
        <w:rPr>
          <w:sz w:val="22"/>
          <w:szCs w:val="22"/>
        </w:rPr>
        <w:t xml:space="preserve">Systematic uncertainty arises chiefly from the assumptions of the model. Coulomb’s Law in the form F = k q² / r² treats the balloons as point charges, but real balloons are large objects whose charge is spread over a curved surface; using the center-to-center distance for r is only an approximation and tends to bias the estimate. The charge is also not distributed uniformly over each balloon, and it leaks away steadily during a trial — aided by humidity — which shifts the balance point and lowers the apparent charge. Finally, the model assumes both balloons carry the same charge q, which is only approximately true. These effects were reduced by using large balloons, recharging before each trial, measuring quickly, and averaging five measurements.</w:t>
      </w:r>
    </w:p>
    <w:p>
      <w:pPr>
        <w:spacing w:after="100"/>
      </w:pPr>
      <w:r>
        <w:rPr>
          <w:b/>
          <w:color w:val="1F3864"/>
          <w:sz w:val="26"/>
          <w:szCs w:val="26"/>
        </w:rPr>
        <w:t xml:space="preserve">IV. Results and Discussion</w:t>
      </w:r>
    </w:p>
    <w:p>
      <w:pPr>
        <w:spacing w:after="120"/>
      </w:pPr>
      <w:r>
        <w:rPr>
          <w:sz w:val="22"/>
          <w:szCs w:val="22"/>
        </w:rPr>
        <w:t xml:space="preserve">The results support the hypothesis. As the second charged balloon was raised, the repulsive force grew until it lifted the first balloon to the horizontal balance point, exactly the behavior expected of a Coulomb force that strengthens as the charges approach. Applying the model produced charge estimates on the order of 10⁻⁷ C (a few tenths of a microcoulomb), which falls squarely within the published range of 10⁻⁸ to 10⁻⁶ C for objects charged by friction, so the result is physically reasonable. Because the charge depends on both the separation and the square root of the mass, a balloon weighing only a couple of grams balanced at a separation of roughly ten to twenty centimeters corresponds to a sub-microcoulomb charge — small charges genuinely do produce forces large enough to lift a lightweight balloon.</w:t>
      </w:r>
    </w:p>
    <w:p>
      <w:pPr>
        <w:spacing w:after="120"/>
      </w:pPr>
      <w:r>
        <w:rPr>
          <w:sz w:val="22"/>
          <w:szCs w:val="22"/>
        </w:rPr>
        <w:t xml:space="preserve">The main limitations were the difficulty of holding the balloons steady at the balance point and the steady leakage of charge, both of which broadened the spread of the trials. </w:t>
      </w:r>
      <w:r>
        <w:rPr>
          <w:b/>
          <w:color w:val="C00000"/>
          <w:sz w:val="22"/>
          <w:szCs w:val="22"/>
        </w:rPr>
        <w:t xml:space="preserve">[ Discuss how consistent your own q values were, whether your calculated uncertainty is large enough to explain the spread, and note anything unexpected in your specific data. ]</w:t>
      </w:r>
    </w:p>
    <w:p>
      <w:pPr>
        <w:spacing w:after="100"/>
      </w:pPr>
      <w:r>
        <w:rPr>
          <w:b/>
          <w:color w:val="1F3864"/>
          <w:sz w:val="26"/>
          <w:szCs w:val="26"/>
        </w:rPr>
        <w:t xml:space="preserve">V. Conclusion</w:t>
      </w:r>
    </w:p>
    <w:p>
      <w:pPr>
        <w:spacing w:after="120"/>
      </w:pPr>
      <w:r>
        <w:rPr>
          <w:sz w:val="22"/>
          <w:szCs w:val="22"/>
        </w:rPr>
        <w:t xml:space="preserve">This experiment set out to determine how much charge is deposited on a balloon by friction and whether that charge can be estimated from a force balance and a physical model. By charging two balloons and finding the separation at which their electric repulsion supported the weight of one balloon, and applying the model q = r · √(m g / k), we estimated a charge on the microcoulomb scale, consistent with accepted values and supporting our hypothesis. The investigation demonstrated how a quantity that cannot be measured directly can still be estimated by measuring related quantities and applying an appropriate model. The most important assumptions were that the balloons behave as point charges separated by their center-to-center distance, that both carry equal charge, and that little charge is lost during the measurement. Confidence in the estimate is moderate: the order of magnitude is trustworthy, but the exact value is limited by the point-charge approximation, charging variability, and leakage. The experiment could be improved by using a more precise scale, a fixed mount to hold the separation steady, a faster measurement to reduce leakage, larger balloons, and more trials.</w:t>
      </w:r>
    </w:p>
    <w:p>
      <w:pPr>
        <w:spacing w:after="100"/>
      </w:pPr>
      <w:r>
        <w:rPr>
          <w:b/>
          <w:color w:val="1F3864"/>
          <w:sz w:val="26"/>
          <w:szCs w:val="26"/>
        </w:rPr>
        <w:t xml:space="preserve">VI. Co-Author Roles</w:t>
      </w:r>
    </w:p>
    <w:p>
      <w:pPr>
        <w:spacing w:after="120"/>
      </w:pPr>
      <w:r>
        <w:rPr>
          <w:color w:val="C00000"/>
          <w:sz w:val="22"/>
          <w:szCs w:val="22"/>
        </w:rPr>
        <w:t xml:space="preserve">[ Name 1 ] — inflating and charging the balloons;  [ Name 2 ] — setting up the balance and measuring separation;  [ Name 3 ] — mass measurement, calculations, and data table;  [ Name 4 ] — writing and editing. All members contributed to the design and discussion.</w:t>
      </w:r>
    </w:p>
    <w:sectPr>
      <w:pgSz w:w="12240" w:h="15840"/>
      <w:pgMar w:top="1440" w:right="1440" w:bottom="1440" w:left="1440"/>
    </w:sectPr>
  </w:body>
</w:document>
</file>